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湘潭市第一人民医院新冠救治能力提升设备（过氧化氢消毒机）紧急采购项目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XTJY20221225</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湘潭市第一人民医院新冠救治能力提升设备（过氧化氢消毒机）紧急采购项目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湘潭市第一人民医院新冠救治能力提升设备（过氧化氢消毒机）紧急采购项目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230000.00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975"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right="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过氧化氢消毒机</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230000.00元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13：40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13：40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湘潭市第一人民医院新冠救治能力提升设备（过氧化氢消毒机）紧急采购项目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预算金额：人民币230000.00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53472202"/>
      <w:bookmarkStart w:id="3" w:name="_Toc34665475"/>
      <w:bookmarkStart w:id="4" w:name="_Toc35071109"/>
      <w:bookmarkStart w:id="5" w:name="_Toc35421028"/>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过氧化氢消毒机</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230000.00元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一、过氧化氢消毒机技术参数要求：</w:t>
      </w:r>
    </w:p>
    <w:p>
      <w:pPr>
        <w:adjustRightInd w:val="0"/>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适用于医疗卫生机构中，高危区域，实验动物中心等单位对特定密闭空间内的空间内的空气和物表进行彻底的消毒，可用于新型冠状病毒的终末消毒，减少人员暴露的风险，对微生物的杀灭程度达到灭菌级别，具有安全可靠，智能化程度高，使用方便等特点</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2、安装方式：移动安装</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3、消毒空间：100-200立方米 ，一次装载的消毒液满足200立方的消毒需要。3.操作方式:液晶显示屏+平板远程操控。</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4、设备雾化颗粒≤0.05μm，消毒液使用量3mL/m³，（提供粒径测试证明）</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5、功能设计：具备过氧化氢喷雾（终末消毒）和等离子日常消毒两种消毒因子。可以分别开启。机身自带电池组。交流电源和直流电源两用。</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6、参数设定：内置计算软件，具有按空间体积和按消毒时间计算双模式，可根据用户需求选择对应模式，输入空间体积或消毒时长，自动计算消毒参数，方便用户操作；</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7、备具等离子体日常消毒，等离子风量500m³/H.搭配有电池组。</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8、消毒器浓度兼容6-35%。非同品牌消毒液提供原厂授权 ，消毒液通过全国备案，有效期不低于2年。（提供CMA认证检验报告）</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9、远程操控：具备常规操作，无线远程操控，配备平板可以远程操作和检测控设备运行状态，平板显示液位，温度，湿度，浓度，PM2.5检测、灭菌、等离子、待机、故障灯监测状态指示栏。</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10、记录方式：历史消毒数据记录可查询，导出打印。</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11、扩散风量≥500m³，可以快速解析空间中残留过氧化氢。</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12、具有房间设定功能可以添加房间和消毒参数的设定。提供平板界面图。 </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13、消毒时，过氧化氢分子空间扩散性能好，空间浓度均匀。具备过氧化氢空间消毒化学指示卡，可以检测消毒气雾覆盖情况。（提供CMA认证检验报告）。</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14、空气消毒模拟现场实验对单次不小于100m³空间：对空气中白色葡萄球菌杀灭率≥100%。</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15、空气消毒现场实验：对单次不小于100m³空间，空气中自然菌消亡率≥100%。</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16、物体表面模拟现场消毒实验：对枯草杆菌黑色变种(ATCC 9372)芽孢杀灭对数值＞6log。</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17、物体表面现场消毒实验：对嗜热脂肪杆菌(ATCC 7953)芽孢杀灭对数值＞6log。 </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18、消毒液毒理学指标：急性经口服试验实际无毒、急性吸入实际无毒、对小鼠骨髓嗜多染红细胞无致微核作用。</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19、消毒液气雾金属腐蚀性测定：对不锈钢、铜、碳钢、铝的腐蚀性级别为基本无腐蚀。</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20、可用于清除实验室中的气溶胶DNA和RNA 核算片段，清除率＞99%（提供第三方测试报告）</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21、资质要求（提供证书、证明资料）制造商具备消毒产品生产企业卫生许可证，且许可证生产类别里必须明确包含有过氧化氢、紫外线、等离子类消毒器械。</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22、产品具有消毒产品卫生安全评价报告，并在全国消毒产品备案网备案。</w:t>
      </w:r>
    </w:p>
    <w:p>
      <w:pPr>
        <w:adjustRightInd w:val="0"/>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23、提供耗材的报价。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过氧化氢消毒机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防尘罩                 2个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1、整机免费保修不少于1年（从验收合格签字之日起），终身维护。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5"/>
        <w:adjustRightInd w:val="0"/>
        <w:snapToGrid w:val="0"/>
        <w:spacing w:before="156" w:beforeLines="50"/>
        <w:jc w:val="center"/>
        <w:rPr>
          <w:rFonts w:hint="eastAsia" w:ascii="黑体" w:hAnsi="黑体" w:eastAsia="黑体"/>
          <w:sz w:val="28"/>
          <w:szCs w:val="28"/>
          <w:highlight w:val="none"/>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8" w:name="_GoBack"/>
      <w:r>
        <w:rPr>
          <w:rFonts w:hint="eastAsia"/>
          <w:b/>
          <w:bCs/>
          <w:color w:val="auto"/>
          <w:highlight w:val="none"/>
        </w:rPr>
        <w:t>付款</w:t>
      </w:r>
      <w:bookmarkEnd w:id="18"/>
      <w:r>
        <w:rPr>
          <w:rFonts w:hint="eastAsia"/>
          <w:b/>
          <w:bCs/>
          <w:color w:val="auto"/>
          <w:highlight w:val="none"/>
        </w:rPr>
        <w:t>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E97545"/>
    <w:rsid w:val="02661E94"/>
    <w:rsid w:val="032F2C87"/>
    <w:rsid w:val="03AC2F3B"/>
    <w:rsid w:val="03BA518F"/>
    <w:rsid w:val="03F8523F"/>
    <w:rsid w:val="040F7947"/>
    <w:rsid w:val="0416483F"/>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7356BE"/>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9722A0"/>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0D0D50"/>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19405</Words>
  <Characters>20402</Characters>
  <Lines>0</Lines>
  <Paragraphs>0</Paragraphs>
  <TotalTime>1</TotalTime>
  <ScaleCrop>false</ScaleCrop>
  <LinksUpToDate>false</LinksUpToDate>
  <CharactersWithSpaces>22471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7036F90854A64601A1E21583FD8E296B</vt:lpwstr>
  </property>
</Properties>
</file>